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Konu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2023-2024 Eğitim Öğretim Yılı 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Sene Sonu Öğretmenler Kurulu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Toplantısı 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 xml:space="preserve">                           EŞMEKAYA </w:t>
      </w:r>
      <w:r>
        <w:rPr>
          <w:rFonts w:cs="Calibri"/>
          <w:sz w:val="24"/>
          <w:szCs w:val="24"/>
        </w:rPr>
        <w:t>ORTAOKULU ÖĞRETMENLERİNE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2023-2024 Eğitim Öğretim Yılı Sene Sonu </w:t>
      </w:r>
      <w:r>
        <w:rPr>
          <w:rFonts w:cs="Calibri"/>
          <w:sz w:val="24"/>
          <w:szCs w:val="24"/>
        </w:rPr>
        <w:t xml:space="preserve">Öğretmenler Kurulu Toplantısı 28.06.2024 </w:t>
      </w:r>
      <w:r>
        <w:rPr>
          <w:rFonts w:cs="Calibri"/>
          <w:sz w:val="24"/>
          <w:szCs w:val="24"/>
        </w:rPr>
        <w:t xml:space="preserve">Cuma </w:t>
      </w:r>
      <w:r>
        <w:rPr>
          <w:rFonts w:cs="Calibri"/>
          <w:sz w:val="24"/>
          <w:szCs w:val="24"/>
        </w:rPr>
        <w:t xml:space="preserve"> günü</w:t>
      </w:r>
      <w:r>
        <w:rPr>
          <w:rFonts w:cs="Calibri"/>
          <w:sz w:val="24"/>
          <w:szCs w:val="24"/>
        </w:rPr>
        <w:t xml:space="preserve"> saat 10.00'da</w:t>
      </w:r>
      <w:r>
        <w:rPr>
          <w:rFonts w:cs="Calibri"/>
          <w:sz w:val="24"/>
          <w:szCs w:val="24"/>
        </w:rPr>
        <w:t xml:space="preserve"> aşağıda belir</w:t>
      </w:r>
      <w:r>
        <w:rPr>
          <w:rFonts w:cs="Calibri"/>
          <w:sz w:val="24"/>
          <w:szCs w:val="24"/>
        </w:rPr>
        <w:t>tilen gündem maddeleri görüşülmek üzere</w:t>
      </w:r>
      <w:r>
        <w:rPr>
          <w:rFonts w:cs="Calibri"/>
          <w:sz w:val="24"/>
          <w:szCs w:val="24"/>
        </w:rPr>
        <w:t xml:space="preserve"> konferans </w:t>
      </w:r>
      <w:bookmarkStart w:id="0" w:name="_GoBack"/>
      <w:bookmarkEnd w:id="0"/>
      <w:r>
        <w:rPr>
          <w:rFonts w:cs="Calibri"/>
          <w:sz w:val="24"/>
          <w:szCs w:val="24"/>
        </w:rPr>
        <w:t>salonunda yapılacaktır. Belirtilen yer ve zamanda hazır bulunulması hususunda;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Bilgilerinizi ve gereğini önemle rica ederim.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Seda CANBERG</w:t>
      </w:r>
      <w:r>
        <w:rPr>
          <w:rFonts w:cs="Calibri"/>
          <w:sz w:val="24"/>
          <w:szCs w:val="24"/>
        </w:rPr>
        <w:t xml:space="preserve">                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Okul Müdürü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2023-2024 EĞİTİM ÖĞRETİM YILI SENE SONU ÖĞRETMENLER KURULU TOPLANTISI GÜNDEM MADDELERİ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>
        <w:rPr>
          <w:rFonts w:cs="Calibri"/>
        </w:rPr>
        <w:t xml:space="preserve">İstiklal Marşı ve Saygı Duruşu, 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>
        <w:rPr>
          <w:rFonts w:cs="Calibri"/>
        </w:rPr>
        <w:t>Açılış ve Yoklama,</w:t>
      </w:r>
    </w:p>
    <w:p>
      <w:pPr>
        <w:pStyle w:val="style0"/>
        <w:tabs>
          <w:tab w:val="left" w:leader="none" w:pos="540"/>
          <w:tab w:val="left" w:leader="none" w:pos="720"/>
        </w:tabs>
        <w:ind w:firstLine="180"/>
        <w:jc w:val="both"/>
        <w:rPr>
          <w:rFonts w:cs="Calibri"/>
        </w:rPr>
      </w:pPr>
      <w:r>
        <w:rPr>
          <w:rFonts w:cs="Calibri"/>
          <w:b/>
        </w:rPr>
        <w:t xml:space="preserve">3.  </w:t>
      </w:r>
      <w:r>
        <w:rPr>
          <w:rFonts w:cs="Calibri"/>
          <w:b/>
        </w:rPr>
        <w:tab/>
      </w:r>
      <w:r>
        <w:rPr>
          <w:rFonts w:cs="Calibri"/>
        </w:rPr>
        <w:t>Toplantı yazmanının seçilmesi,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 xml:space="preserve">4. </w:t>
      </w:r>
      <w:r>
        <w:rPr>
          <w:rFonts w:cs="Calibri"/>
          <w:b/>
        </w:rPr>
        <w:tab/>
      </w:r>
      <w:r>
        <w:rPr>
          <w:rFonts w:cs="Calibri"/>
        </w:rPr>
        <w:t>Gündemin okunması ve görüşülmesi istenen maddelerin eklenmesi,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5.</w:t>
      </w:r>
      <w:r>
        <w:rPr>
          <w:rFonts w:cs="Calibri"/>
        </w:rPr>
        <w:tab/>
      </w:r>
      <w:r>
        <w:rPr>
          <w:rFonts w:cs="Calibri"/>
        </w:rPr>
        <w:t>2023-2024 Eğitim-Öğretim yılı sınıf/şube başarılarının değerlendirilmesi ve başarının arttırılması içi alınabilecek tedbirlerin kararlaştırılması,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 xml:space="preserve">6.   </w:t>
      </w:r>
      <w:r>
        <w:rPr>
          <w:rFonts w:cs="Calibri"/>
        </w:rPr>
        <w:t>Öğrenci devam-devamsızlık durumlarının görüşülmesi,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7.</w:t>
      </w:r>
      <w:r>
        <w:rPr>
          <w:rFonts w:cs="Calibri"/>
        </w:rPr>
        <w:tab/>
      </w:r>
      <w:r>
        <w:rPr>
          <w:rFonts w:cs="Calibri"/>
        </w:rPr>
        <w:t>Sosyal kulüp ve rehberlik çalışmalarının değerlendirilmesi,</w:t>
      </w:r>
      <w:r>
        <w:rPr>
          <w:rFonts w:cs="Calibri"/>
        </w:rPr>
        <w:tab/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8.</w:t>
      </w:r>
      <w:r>
        <w:rPr>
          <w:rFonts w:cs="Calibri"/>
        </w:rPr>
        <w:tab/>
      </w:r>
      <w:r>
        <w:rPr>
          <w:rFonts w:cs="Calibri"/>
        </w:rPr>
        <w:t>Okulumuzda yapılan sosyal etkinliklerin değerlendirilmesi,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9.</w:t>
      </w:r>
      <w:r>
        <w:rPr>
          <w:rFonts w:cs="Calibri"/>
        </w:rPr>
        <w:tab/>
      </w:r>
      <w:r>
        <w:rPr>
          <w:rFonts w:cs="Calibri"/>
        </w:rPr>
        <w:t>Öğrenci disiplin durumlarının görüşülmesi,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10.</w:t>
      </w:r>
      <w:r>
        <w:rPr>
          <w:rFonts w:cs="Calibri"/>
        </w:rPr>
        <w:tab/>
      </w:r>
      <w:r>
        <w:rPr>
          <w:rFonts w:cs="Calibri"/>
        </w:rPr>
        <w:t>Yıl sonu</w:t>
      </w:r>
      <w:r>
        <w:rPr>
          <w:rFonts w:cs="Calibri"/>
        </w:rPr>
        <w:t xml:space="preserve"> evraklarının teslimi ile ilgili açıklamaların yapılması 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11.</w:t>
      </w:r>
      <w:r>
        <w:rPr>
          <w:rFonts w:cs="Calibri"/>
        </w:rPr>
        <w:t xml:space="preserve"> Mesleki Çalışma hakkında bilgilendirme,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12.</w:t>
      </w:r>
      <w:r>
        <w:rPr>
          <w:rFonts w:cs="Calibri"/>
        </w:rPr>
        <w:tab/>
      </w:r>
      <w:r>
        <w:rPr>
          <w:rFonts w:cs="Calibri"/>
        </w:rPr>
        <w:t>Dilek ve temenniler,</w:t>
      </w:r>
    </w:p>
    <w:p>
      <w:pPr>
        <w:pStyle w:val="style0"/>
        <w:tabs>
          <w:tab w:val="left" w:leader="none" w:pos="540"/>
          <w:tab w:val="left" w:leader="none" w:pos="720"/>
        </w:tabs>
        <w:ind w:left="180"/>
        <w:jc w:val="both"/>
        <w:rPr>
          <w:rFonts w:cs="Calibri"/>
        </w:rPr>
      </w:pPr>
      <w:r>
        <w:rPr>
          <w:rFonts w:cs="Calibri"/>
          <w:b/>
        </w:rPr>
        <w:t>13.</w:t>
      </w:r>
      <w:r>
        <w:rPr>
          <w:rFonts w:cs="Calibri"/>
        </w:rPr>
        <w:tab/>
      </w:r>
      <w:r>
        <w:rPr>
          <w:rFonts w:cs="Calibri"/>
        </w:rPr>
        <w:t>Kapanış.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a2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tr-TR"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760720" cy="576072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tr-TR"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760720" cy="576072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tr-TR"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4100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760720" cy="576072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Üstbilgi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Altbilgi Ch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144</Words>
  <Pages>1</Pages>
  <Characters>1056</Characters>
  <Application>WPS Office</Application>
  <DocSecurity>0</DocSecurity>
  <Paragraphs>40</Paragraphs>
  <ScaleCrop>false</ScaleCrop>
  <LinksUpToDate>false</LinksUpToDate>
  <CharactersWithSpaces>1533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2024-06-27T14:56:25Z</dcterms:created>
  <dc:creator>Lenovo</dc:creator>
  <lastModifiedBy>lancelot</lastModifiedBy>
  <dcterms:modified xsi:type="dcterms:W3CDTF">2024-06-27T14:56:25Z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fe3402542cb843a6a0e34e47b66f55ae</vt:lpwstr>
  </property>
</Properties>
</file>